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46BA9" w14:textId="2CECDF46" w:rsidR="000A0DED" w:rsidRDefault="00FD02AA">
      <w:r>
        <w:rPr>
          <w:noProof/>
        </w:rPr>
        <w:drawing>
          <wp:inline distT="0" distB="0" distL="0" distR="0" wp14:anchorId="163E5208" wp14:editId="604D69E4">
            <wp:extent cx="5943600" cy="3820886"/>
            <wp:effectExtent l="0" t="0" r="0" b="8255"/>
            <wp:docPr id="6" name="Chart 6">
              <a:extLst xmlns:a="http://schemas.openxmlformats.org/drawingml/2006/main">
                <a:ext uri="{FF2B5EF4-FFF2-40B4-BE49-F238E27FC236}">
                  <a16:creationId xmlns:a16="http://schemas.microsoft.com/office/drawing/2014/main" id="{84282CBE-EDA7-4EE3-81A9-887C5D5F09C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0A0D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2AA"/>
    <w:rsid w:val="000A0DED"/>
    <w:rsid w:val="00FD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0B15D"/>
  <w15:chartTrackingRefBased/>
  <w15:docId w15:val="{328F323B-7BD1-4B38-94D3-A1878E19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../embeddings/oleObject1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#</a:t>
            </a:r>
            <a:r>
              <a:rPr lang="en-US" baseline="0"/>
              <a:t> of NOIs with Violation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50454333833270837"/>
          <c:y val="0.10302777777777777"/>
          <c:w val="0.4645836457942758"/>
          <c:h val="0.83253258967629051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Stats!$F$4:$F$24</c:f>
              <c:strCache>
                <c:ptCount val="18"/>
                <c:pt idx="0">
                  <c:v>Benchmark exceedance</c:v>
                </c:pt>
                <c:pt idx="1">
                  <c:v>Effluent violation</c:v>
                </c:pt>
                <c:pt idx="2">
                  <c:v>Improper operation and maintenance</c:v>
                </c:pt>
                <c:pt idx="3">
                  <c:v>Failure to analyze quarterly samples</c:v>
                </c:pt>
                <c:pt idx="4">
                  <c:v>Failure to collect quarterly samples</c:v>
                </c:pt>
                <c:pt idx="5">
                  <c:v>Failure to maintain records</c:v>
                </c:pt>
                <c:pt idx="6">
                  <c:v>Improper/incorrect reporting</c:v>
                </c:pt>
                <c:pt idx="7">
                  <c:v>Late submittal of DMRs</c:v>
                </c:pt>
                <c:pt idx="8">
                  <c:v>Failure to conduct inspections</c:v>
                </c:pt>
                <c:pt idx="9">
                  <c:v>Failure to monitor</c:v>
                </c:pt>
                <c:pt idx="10">
                  <c:v>Failure to prepare and implement any or adequate SWPPP/SWMP</c:v>
                </c:pt>
                <c:pt idx="11">
                  <c:v>Failure to prepare and implement BMPs</c:v>
                </c:pt>
                <c:pt idx="12">
                  <c:v>Failure to report permit violations</c:v>
                </c:pt>
                <c:pt idx="13">
                  <c:v>Discharge without a permit</c:v>
                </c:pt>
                <c:pt idx="14">
                  <c:v>Illicit and prohibited discharges</c:v>
                </c:pt>
                <c:pt idx="15">
                  <c:v>Violation of level 1 requirements</c:v>
                </c:pt>
                <c:pt idx="16">
                  <c:v>Violation of level 2 requirements</c:v>
                </c:pt>
                <c:pt idx="17">
                  <c:v>Violation of level 3 requirements</c:v>
                </c:pt>
              </c:strCache>
              <c:extLst/>
            </c:strRef>
          </c:cat>
          <c:val>
            <c:numRef>
              <c:f>Stats!$G$4:$G$24</c:f>
              <c:numCache>
                <c:formatCode>General</c:formatCode>
                <c:ptCount val="18"/>
                <c:pt idx="0">
                  <c:v>6</c:v>
                </c:pt>
                <c:pt idx="1">
                  <c:v>11</c:v>
                </c:pt>
                <c:pt idx="2">
                  <c:v>1</c:v>
                </c:pt>
                <c:pt idx="3">
                  <c:v>5</c:v>
                </c:pt>
                <c:pt idx="4">
                  <c:v>6</c:v>
                </c:pt>
                <c:pt idx="5">
                  <c:v>6</c:v>
                </c:pt>
                <c:pt idx="6">
                  <c:v>10</c:v>
                </c:pt>
                <c:pt idx="7">
                  <c:v>2</c:v>
                </c:pt>
                <c:pt idx="8">
                  <c:v>1</c:v>
                </c:pt>
                <c:pt idx="9">
                  <c:v>6</c:v>
                </c:pt>
                <c:pt idx="10">
                  <c:v>10</c:v>
                </c:pt>
                <c:pt idx="11">
                  <c:v>11</c:v>
                </c:pt>
                <c:pt idx="12">
                  <c:v>7</c:v>
                </c:pt>
                <c:pt idx="13">
                  <c:v>11</c:v>
                </c:pt>
                <c:pt idx="14">
                  <c:v>4</c:v>
                </c:pt>
                <c:pt idx="15">
                  <c:v>5</c:v>
                </c:pt>
                <c:pt idx="16">
                  <c:v>5</c:v>
                </c:pt>
                <c:pt idx="17">
                  <c:v>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A831-437C-9492-5075910001B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609674064"/>
        <c:axId val="609675664"/>
      </c:barChart>
      <c:catAx>
        <c:axId val="60967406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675664"/>
        <c:crosses val="autoZero"/>
        <c:auto val="1"/>
        <c:lblAlgn val="ctr"/>
        <c:lblOffset val="100"/>
        <c:noMultiLvlLbl val="0"/>
      </c:catAx>
      <c:valAx>
        <c:axId val="609675664"/>
        <c:scaling>
          <c:orientation val="minMax"/>
        </c:scaling>
        <c:delete val="0"/>
        <c:axPos val="t"/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6740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Freer Consulting</dc:creator>
  <cp:keywords/>
  <dc:description/>
  <cp:lastModifiedBy>Freer Consulting</cp:lastModifiedBy>
  <cp:revision>1</cp:revision>
  <dcterms:created xsi:type="dcterms:W3CDTF">2020-06-02T22:01:00Z</dcterms:created>
  <dcterms:modified xsi:type="dcterms:W3CDTF">2020-06-02T22:02:00Z</dcterms:modified>
</cp:coreProperties>
</file>